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ПОЯСНЮВАЛЬНА ЗАПИСКА</w:t>
        <w:br w:type="textWrapping"/>
      </w:r>
      <w:r w:rsidDel="00000000" w:rsidR="00000000" w:rsidRPr="00000000">
        <w:rPr>
          <w:rtl w:val="0"/>
        </w:rPr>
        <w:t xml:space="preserve"> до проекту наказу Міністерства юстиції України</w:t>
        <w:br w:type="textWrapping"/>
        <w:t xml:space="preserve"> «Про внесення змін до деяких нормативно-правових актів Міністерства юстиції України»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7w02lqce5e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Мета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Метою прийняття проекту наказу Міністерства юстиції України «Про внесення змін до деяких нормативно-правових актів Міністерства юстиції України» (далі — проект наказу) є блокування умов тривалого засуджених та осіб, взятих під варту.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fs9swv12ah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Обґрунтування необхідності прийняття акта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Положееня Європейських пенітенціарних (в'язничних) правил (Рекомендація № R (2006)2 Комітету Міністрів державам-учасницям) передбачають, що у в'язниці повинний мати право, з урахуванням вимог гігієни, порядку та безпеки, купувати або в інший спосіб придбавати для особистого користування товари, включаючи харчі та напої, за цінами, які не перевищують надмірно цін на аналогічні товари на волі.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Крім того, у в'язні мусять мати можливість витрачати принаймні частину свого заробітку на придбання дозволених предметів для особистого користування.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Також у Мінімальних стандартних правилах ООН поводження із в ' язнями (Правила Нельсона Мандели) зазначено, що за свою працю в ' язні повинний отримувати справедливу винагороду в рамках певної системи. Відповідно до цієї системи в ' язні повинний мати можливість витрачати в крамничному рахі частину зароблених ним коштів на придбання дозволених предметів особистого вжитку.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Статтею 108 Кримінально-виконавчого кодексу України передбачено, що засуджені можуть право придбавати за безготівковим розрахунком продукти харчування, одяг, взуття, білизну та предмети першої потреби на гроші, зароблені в колоніях, одержані за переказами, за рахунок пенсій та іншого доходу, без обмеження їх обсягу.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Перелік продуктів харчування, одягу, взуття, білизни і предметів першої потреби, що дозволяються до продажу засудженим, визначається нормативно-правовими актами Міністерства юстиції України.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Відповідно до положень пункту 2 розділу II Правил внутрішнього розпорядку установ виконання покарань, затверджених наказом Міністерства юстиції України від 28 серпня 2018 року № 2823/5, зареєстрованим в Міністерстві юстиції України 05 вересня 2018 року за № 1010/32462 (далі — ПВП УВП) та пункту 9 глави 2 розділу IX Правил внутрішнього розпорядку слідчих ізоляторів Державної кримінально-виконавчої служби України, затверджених наказом Міністерства юстиції України від 14 червня 2019 року № 1769/5, зареєстрованим у Міністерстві юстиції України 18 червня 2019 року за № 633/33604 (далі — ПВП СІЗО), засуджені можуть право користуватися електричними чайниками потужністю не більше 2 КВт, мультиварками та мікрохвильовими пічками, а також холодильниками.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Зазначене дає можливість засудженим зберігати продукти харчування з дотриманням відповідного температурного режиму, а також готувати продукти харчування шляхом термічної обробки.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 огляду на викладене, доцільно розширити перелік продуктів харчування, які засуджені та особи, взяті під варту, можуть купувати в крамницях УВП та СІЗО, а також конкретизувати перелік продуктів харчування, які засуджені можуть отримувати в посилках (передачах) та бандеролях при собі, шляхом внесення відповідних змін у розділ I додатка 5 до ПВП УВП та розділ I додатка 2 до ПВП СІЗО.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b1ti6legina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Основні положення проекту акта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Проектом наказу пропонується дозволити: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особам, взятим під варту, купувати в крамницях СІЗО: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хліб та хлібобулочні вироби;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ковбасні вироби;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кондитерські вироби;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сир;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варення;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джеми;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мінеральну воду та солодкі газовані напої;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М' ясні, рибні і плодово-овочеві консерви фабричного (заводського) виробництва;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засудженим, які тримаються в УВП та СІЗО, — купувати в крамницях при цих установах: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хліб та хлібобулочні вироби;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ковбасні вироби;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кондитерські вироби;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м' ясо;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сир;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джем;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варення;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джеми;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мінеральну воду;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солодкі газовані напої;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М' ясні, рибні і плодово-овочеві консерви та заморожені напівфабрикати (заготовки їжі) фабричного (заводського) виробництва.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Такі продукти повинні мати дійсний термін придатності та зберігатися відповідно до умов, визначених державними стандартами, ветеринарними законодавством та санітарно-епідеміологічними нормами.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Таких продуктів пропонується визнати, що засуджені можуть отримувати в посилках (передачах) та зберігати при собі продукти харчування фабричного (заводського) виробництва з дисциплінарним терміном придатності, які не потребують додаткового приготування чи мають термічну обробку та можуть зберігатися за кімнатної температури; свіжі фрукти та овочі (яблука, помідори, огірки, цибуля, часник, перець, капуста, морква, зелень — до 1 кг кожного найменування); сухі кондитерські вироби, продукти швидкого приготування (крупи, у тому числі гречана, що не потребують термічної обробки, каша, локшина, вермішель, суп, крем-суп, пюре, паста, мюслі, пластівці тощо), чай, цукор та кава до 1 кг кожного найменування; готові вироби — не більше 30 пачок готових виробів фабричного розфасування, сирники не більше 10 коробок або одна запакована коробка робочого виконання.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5gu3stsusv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Правові аспекти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Нормативно-правовими актами у цій сфері правового регулювання є: Кримінально-виконавчий кодекс України, Закон України «Про попереднє ув'язнення», Положення про Міністерство юстиції України, затверджене постановою Кабінету Міністрів України від 02 липня 2014 року № 228.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h9h2iu0t03b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Фінансово-економічне обґрунтування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Реализация проекту наказу не потребує додаткових фінансових витрат з державного чи місцевих бюджетів.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uo4zk6tve7c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Позиція зацікавлених сторін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Проект наказу не стосується сферы наукової та науково-технічної діяльності.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a4gy1ukyq2p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Оцінка впливу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Проект наказу не накладає до додаткових сфер зобов ' язань України у сфері європейської інтеграції, у тому числі Міжнародно-правових, та права Європейського Союзу (acquis ЕС).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проекті наказу відсутні положення, що впливають на забезпечення рівних прав та можливостей жінок і чоловіків.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проекті наказу відсутні положення, що містять признаки виявлення корупційних правопорушень та правопорушень, пов ' язаних з корупцією.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проекті наказу відсутні положення, що створюють підстави для дискримінації.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w4um5el6wus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Прогноз результатів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Прийняття проекту наказу дозволить перелік продуктів харчування, які засуджені та особи, взяті під варту, можуть купувати в крамницях УВП та СІЗО.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Реалізація проекту наказу не матиме впливу на ринкове середовище, забезпечення захисту прав та інтересів суб ' 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 ' я, покращення чи погіршення стану здоров ' 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землі, зокрема забруднення утвореними відходами, інші суспільні відносини.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Заступник Міністра юстиції України</w:t>
        <w:br w:type="textWrapping"/>
        <w:t xml:space="preserve"> з питань європейської інтеграції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Людмила СУГАК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